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70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伊州财社[2023]62号2024年基本公共卫生服务补助资金项目支出绩效评价报告</w:t>
      </w:r>
    </w:p>
    <w:p>
      <w:pPr>
        <w:spacing w:line="540" w:lineRule="exact"/>
        <w:jc w:val="center"/>
        <w:rPr>
          <w:rFonts w:hint="default" w:ascii="Times New Roman" w:hAnsi="Times New Roman" w:eastAsia="华文中宋" w:cs="Times New Roman"/>
          <w:b/>
          <w:kern w:val="0"/>
          <w:sz w:val="32"/>
          <w:szCs w:val="32"/>
        </w:rPr>
      </w:pPr>
    </w:p>
    <w:p>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spacing w:line="540" w:lineRule="exact"/>
        <w:jc w:val="center"/>
        <w:rPr>
          <w:rFonts w:hint="default" w:ascii="Times New Roman" w:hAnsi="Times New Roman" w:eastAsia="仿宋_GB2312" w:cs="Times New Roman"/>
          <w:kern w:val="0"/>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jc w:val="both"/>
        <w:rPr>
          <w:rFonts w:hint="default" w:ascii="Times New Roman" w:hAnsi="Times New Roman" w:eastAsia="仿宋_GB2312" w:cs="Times New Roman"/>
          <w:kern w:val="0"/>
          <w:sz w:val="32"/>
          <w:szCs w:val="32"/>
        </w:rPr>
      </w:pPr>
    </w:p>
    <w:p>
      <w:pPr>
        <w:spacing w:line="540" w:lineRule="exact"/>
        <w:rPr>
          <w:rFonts w:hint="default" w:ascii="Times New Roman" w:hAnsi="Times New Roman" w:eastAsia="仿宋_GB2312" w:cs="Times New Roman"/>
          <w:kern w:val="0"/>
          <w:sz w:val="32"/>
          <w:szCs w:val="32"/>
        </w:rPr>
      </w:pPr>
    </w:p>
    <w:p>
      <w:pPr>
        <w:spacing w:line="700" w:lineRule="exact"/>
        <w:ind w:left="2877" w:leftChars="608" w:hanging="1600" w:hangingChars="5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项目名称：伊州财社[2023]62号2024年基本公共卫生服务补助资金</w:t>
      </w:r>
    </w:p>
    <w:p>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实施单位（公章）：特克斯县疾病预防控制中心</w:t>
      </w:r>
    </w:p>
    <w:p>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主管部门（公章）：特克斯县疾病预防控制中心</w:t>
      </w:r>
    </w:p>
    <w:p>
      <w:pPr>
        <w:spacing w:line="700" w:lineRule="exact"/>
        <w:ind w:firstLine="1280" w:firstLineChars="400"/>
        <w:jc w:val="left"/>
        <w:rPr>
          <w:rFonts w:hint="eastAsia"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李栋锋</w:t>
      </w:r>
    </w:p>
    <w:p>
      <w:pPr>
        <w:spacing w:line="700" w:lineRule="exact"/>
        <w:ind w:firstLine="1280" w:firstLineChars="400"/>
        <w:jc w:val="left"/>
        <w:rPr>
          <w:rStyle w:val="16"/>
          <w:rFonts w:hint="default" w:ascii="Times New Roman" w:hAnsi="Times New Roman" w:eastAsia="黑体" w:cs="Times New Roman"/>
          <w:b w:val="0"/>
          <w:spacing w:val="-4"/>
          <w:sz w:val="32"/>
          <w:szCs w:val="32"/>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19</w:t>
      </w:r>
      <w:r>
        <w:rPr>
          <w:rFonts w:hint="default" w:ascii="Times New Roman" w:hAnsi="Times New Roman" w:eastAsia="仿宋_GB2312" w:cs="Times New Roman"/>
          <w:kern w:val="0"/>
          <w:sz w:val="32"/>
          <w:szCs w:val="32"/>
        </w:rPr>
        <w:t>日</w:t>
      </w:r>
    </w:p>
    <w:p>
      <w:pPr>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pStyle w:val="10"/>
        <w:numPr>
          <w:ilvl w:val="0"/>
          <w:numId w:val="0"/>
        </w:numPr>
        <w:spacing w:before="0" w:after="0" w:line="560" w:lineRule="exact"/>
        <w:ind w:firstLine="600" w:firstLineChars="200"/>
        <w:jc w:val="both"/>
        <w:rPr>
          <w:rFonts w:hint="eastAsia" w:ascii="Times New Roman" w:hAnsi="Times New Roman" w:eastAsia="仿宋_GB2312" w:cs="Times New Roman"/>
          <w:b w:val="0"/>
          <w:bCs w:val="0"/>
          <w:kern w:val="2"/>
          <w:sz w:val="30"/>
          <w:szCs w:val="30"/>
          <w:highlight w:val="none"/>
          <w:lang w:val="en-US" w:eastAsia="zh-CN" w:bidi="ar-SA"/>
        </w:rPr>
      </w:pPr>
      <w:r>
        <w:rPr>
          <w:rFonts w:hint="eastAsia" w:ascii="Times New Roman" w:hAnsi="Times New Roman" w:eastAsia="仿宋_GB2312" w:cs="Times New Roman"/>
          <w:b w:val="0"/>
          <w:bCs w:val="0"/>
          <w:kern w:val="2"/>
          <w:sz w:val="30"/>
          <w:szCs w:val="30"/>
          <w:highlight w:val="none"/>
          <w:lang w:val="en-US" w:eastAsia="zh-CN" w:bidi="ar-SA"/>
        </w:rPr>
        <w:t>通过实施国家基本公共卫生服务项目，明确政府职责，对城乡居民健康问题实施干预措施，减少主要健康危险因素，有效预防和控制主要传染病，提高基本公共卫生服务和突发公共卫生事件应急处置能力，使城乡居民逐步享有均等化的基本公共卫生服务，到2020年，基本公共卫生服务逐步均等化的机制基本完善，重大疾病和主要健康危险因素得到进一步提高。</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00" w:firstLineChars="20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项目主要内容：</w:t>
      </w:r>
      <w:r>
        <w:rPr>
          <w:rFonts w:hint="eastAsia" w:ascii="宋体" w:hAnsi="宋体" w:eastAsia="宋体" w:cs="宋体"/>
          <w:i w:val="0"/>
          <w:caps w:val="0"/>
          <w:color w:val="333333"/>
          <w:spacing w:val="0"/>
          <w:sz w:val="21"/>
          <w:szCs w:val="21"/>
          <w:shd w:val="clear" w:fill="FFFFFF"/>
        </w:rPr>
        <w:t>（</w:t>
      </w:r>
      <w:r>
        <w:rPr>
          <w:rFonts w:hint="eastAsia" w:ascii="Times New Roman" w:hAnsi="Times New Roman" w:eastAsia="仿宋_GB2312" w:cs="Times New Roman"/>
          <w:sz w:val="30"/>
          <w:szCs w:val="30"/>
          <w:highlight w:val="none"/>
          <w:lang w:val="en-US" w:eastAsia="zh-CN"/>
        </w:rPr>
        <w:t>1）保持并提高乙肝疫苗、卡介苗、脊灰疫苗（脊灰灭活疫苗2剂次和二价脊髓灰质炎减毒活疫苗2剂次）、百白破疫苗、白破疫苗、麻腮风疫苗、 流脑疫苗、甲肝减毒活疫苗的接种率以乡(镇)为单位达到95%及以上。（2）传染性肺结核患者集中隔离治疗率，活动性肺结核患者“集中服务+营养早餐”覆盖率达到95%以上。（3）认真做好职业健康检查职业病诊断工作，开展职业性尘肺病随访与回顾性调查率达到100%。（4）拨付给8个乡镇卫生院，用于开展各项传染病防治工作，拨付及时率达到99.80%。根据《国家基本公共卫生服务规范（第三版）》服务内容，促进基本公共卫生服务逐步均等化的实施方案，主要公共卫生问题和干预措施的效果，按照基本公共卫生服务项目两项的县公共卫生服务能力进一步提高，促进基本公共卫生服务逐步实施，使特克斯县居民生活质量和健康水平明显改善。（5）免费向城乡居民提供基本公共卫生服务。（6）保持重点地方病防治措施全面落实。开展职业病防治，最大限度地保护放射工作人员、患者和公共的健康权益。同时推进妇幼卫生、医养结合和老年健康服务等方面工作。</w:t>
      </w:r>
    </w:p>
    <w:p>
      <w:pPr>
        <w:spacing w:line="560" w:lineRule="exact"/>
        <w:ind w:firstLine="640" w:firstLineChars="20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2"/>
          <w:szCs w:val="32"/>
        </w:rPr>
        <w:t>项目实施情况：</w:t>
      </w:r>
      <w:r>
        <w:rPr>
          <w:rFonts w:hint="eastAsia" w:ascii="Times New Roman" w:hAnsi="Times New Roman" w:eastAsia="仿宋_GB2312" w:cs="Times New Roman"/>
          <w:sz w:val="30"/>
          <w:szCs w:val="30"/>
          <w:highlight w:val="none"/>
          <w:lang w:val="en-US" w:eastAsia="zh-CN"/>
        </w:rPr>
        <w:t>1.2024年我县特克斯县结核病报告发病率为13.03/10万，比2023年同期报告发病数下降56.09%。2.统计疫苗发放数量：乙肝疫苗500支，卡介苗63支、无细胞百白破775支，脊灰疫苗IPV685支、bOPV848支，麻腮风755支，A群流脑疫苗255支,A+C流脑疫苗760支,白破二联疫苗355支,甲肝疫苗270支；注射器1mL1500支， 0.1mL300支，接种率均到达95%以上。3.碘缺乏病工作：碘缺乏病监测共完成孕妇48人尿样及盐样采集工作。4.饮茶型地方性氟中毒工作：氟骨症筛查工作由各乡镇开展完成症状筛查176人，完成拍片0人。5.根据市监局提供企业名单和商信局提供的企业名单来已确定2024年重点行业监测企业数17家。</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134.95</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136.5</w:t>
      </w:r>
      <w:r>
        <w:rPr>
          <w:rFonts w:hint="default" w:ascii="Times New Roman" w:hAnsi="Times New Roman" w:eastAsia="仿宋_GB2312" w:cs="Times New Roman"/>
          <w:color w:val="auto"/>
          <w:sz w:val="32"/>
          <w:szCs w:val="32"/>
          <w:highlight w:val="none"/>
          <w:lang w:val="en-US" w:eastAsia="zh-CN"/>
        </w:rPr>
        <w:t>万元，该项目资金已全部落实到位，资金来源为</w:t>
      </w:r>
      <w:r>
        <w:rPr>
          <w:rFonts w:hint="eastAsia"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134.95</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136.9</w:t>
      </w:r>
      <w:r>
        <w:rPr>
          <w:rFonts w:hint="default"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，全年执行数</w:t>
      </w:r>
      <w:r>
        <w:rPr>
          <w:rFonts w:hint="eastAsia" w:eastAsia="仿宋_GB2312" w:cs="Times New Roman"/>
          <w:color w:val="auto"/>
          <w:sz w:val="32"/>
          <w:szCs w:val="32"/>
          <w:highlight w:val="none"/>
          <w:lang w:val="en-US" w:eastAsia="zh-CN"/>
        </w:rPr>
        <w:t>136.5</w:t>
      </w:r>
      <w:r>
        <w:rPr>
          <w:rFonts w:hint="default" w:ascii="Times New Roman" w:hAnsi="Times New Roman" w:eastAsia="仿宋_GB2312" w:cs="Times New Roman"/>
          <w:color w:val="auto"/>
          <w:sz w:val="32"/>
          <w:szCs w:val="32"/>
          <w:highlight w:val="none"/>
          <w:lang w:val="en-US" w:eastAsia="zh-CN"/>
        </w:rPr>
        <w:t>万元，预算执行率为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%，主要用于：</w:t>
      </w:r>
      <w:r>
        <w:rPr>
          <w:rFonts w:hint="eastAsia" w:ascii="Times New Roman" w:hAnsi="Times New Roman" w:eastAsia="仿宋_GB2312" w:cs="Times New Roman"/>
          <w:color w:val="auto"/>
          <w:sz w:val="32"/>
          <w:szCs w:val="32"/>
          <w:highlight w:val="none"/>
          <w:lang w:val="en-US" w:eastAsia="zh-CN"/>
        </w:rPr>
        <w:t>0-6岁儿童健康服务管理预防接种服务、肺结核患者健康管理及规范服药（营养早餐补助）、传染病防治资金拨付8个乡镇卫生院，用于开展工作，职业健康检查，碘缺乏病筛查监测、检测，饮茶型氟中毒检测，居民饮用水检测。</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（1）保持并提高乙肝疫苗、卡介苗、脊灰疫苗（脊灰灭活疫苗2剂次和二价脊髓灰质炎减毒活疫苗2剂次）、百白破疫苗、白破疫苗、麻腮风疫苗、 流脑疫苗、甲肝减毒活疫苗的接种率以乡(镇)为单位达到95%及以上。（2）传染性肺结核患者集中隔离治疗率，活动性肺结核患者“集中服务+营养早餐”覆盖率达到95%以上。（3）认真做好职业健康检查职业病诊断工作，开展职业性尘肺病随访与回顾性调查率达到100%。（4）拨付给8个乡镇卫生院，用于开展各项传染病防治工作，拨付及时率达到99.80%。根据《国家基本公共卫生服务规范（第三版）》服务内容，促进基本公共卫生服务逐步均等化的实施方案，主要公共卫生问题和干预措施的效果，按照基本公共卫生服务项目两项的县公共卫生服务能力进一步提高，促进基本公共卫生服务逐步实施，使特克斯县居民生活质量和健康水平明显改善。（5）免费向城乡居民提供基本公共卫生服务。（6）保持重点地方病防治措施全面落实。开展职业病防治，最大限度地保护放射工作人员、患者和公共的健康权益。同时推进妇幼卫生、医养结合和老年健康服务等方面工作。</w:t>
      </w:r>
    </w:p>
    <w:p>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sz w:val="32"/>
          <w:szCs w:val="32"/>
          <w:highlight w:val="none"/>
        </w:rPr>
        <w:t>阶段性目标</w:t>
      </w:r>
    </w:p>
    <w:p>
      <w:pPr>
        <w:spacing w:line="560" w:lineRule="exact"/>
        <w:ind w:firstLine="640" w:firstLineChars="200"/>
        <w:rPr>
          <w:rFonts w:hint="eastAsia" w:eastAsia="仿宋_GB2312" w:cs="Times New Roman"/>
          <w:sz w:val="32"/>
          <w:szCs w:val="32"/>
          <w:lang w:eastAsia="zh-CN"/>
        </w:rPr>
      </w:pPr>
      <w:r>
        <w:rPr>
          <w:rFonts w:hint="eastAsia" w:ascii="Times New Roman" w:hAnsi="Times New Roman" w:eastAsia="仿宋_GB2312" w:cs="Times New Roman"/>
          <w:sz w:val="32"/>
          <w:szCs w:val="32"/>
          <w:lang w:eastAsia="zh-CN"/>
        </w:rPr>
        <w:t>上半年主要完成工作：</w:t>
      </w:r>
      <w:r>
        <w:rPr>
          <w:rFonts w:hint="eastAsia" w:ascii="Times New Roman" w:hAnsi="Times New Roman" w:eastAsia="仿宋_GB2312" w:cs="Times New Roman"/>
          <w:sz w:val="32"/>
          <w:szCs w:val="32"/>
        </w:rPr>
        <w:t>1.</w:t>
      </w:r>
      <w:r>
        <w:rPr>
          <w:rFonts w:hint="eastAsia" w:eastAsia="仿宋_GB2312" w:cs="Times New Roman"/>
          <w:sz w:val="32"/>
          <w:szCs w:val="32"/>
          <w:lang w:eastAsia="zh-CN"/>
        </w:rPr>
        <w:t>截止</w:t>
      </w:r>
      <w:r>
        <w:rPr>
          <w:rFonts w:hint="eastAsia" w:ascii="Times New Roman" w:hAnsi="Times New Roman" w:eastAsia="仿宋_GB2312" w:cs="Times New Roman"/>
          <w:sz w:val="32"/>
          <w:szCs w:val="32"/>
        </w:rPr>
        <w:t>2024年</w:t>
      </w:r>
      <w:r>
        <w:rPr>
          <w:rFonts w:hint="eastAsia" w:eastAsia="仿宋_GB2312" w:cs="Times New Roman"/>
          <w:sz w:val="32"/>
          <w:szCs w:val="32"/>
          <w:lang w:val="en-US" w:eastAsia="zh-CN"/>
        </w:rPr>
        <w:t>6月</w:t>
      </w:r>
      <w:r>
        <w:rPr>
          <w:rFonts w:hint="eastAsia" w:ascii="Times New Roman" w:hAnsi="Times New Roman" w:eastAsia="仿宋_GB2312" w:cs="Times New Roman"/>
          <w:sz w:val="32"/>
          <w:szCs w:val="32"/>
        </w:rPr>
        <w:t>我县特克斯县结核病报告发病率为13.03/10万，比2023年同期报告发病数下降56.09%。2.疫苗发放数量：乙肝疫苗500支，卡介苗63支、无细胞百白破775支，脊灰疫苗IPV685支、bOPV848支，麻腮风755支，A群流脑疫苗255支,A+C流脑疫苗760支,白破二联疫苗355支,甲肝疫苗270支；注射器1mL1500支， 0.1mL300支，接种率均到达95%以上。3.碘缺乏病工作：碘缺乏病监测共完成孕妇48人尿样及盐样采集工作。4.饮茶型地方性氟中毒工作：氟骨症筛查工作由各乡镇开展完成症状筛查176人，完成拍片0人。5.根据市监局提供企业名单和商信局提供的企业名单来已确定2024年重点行业监测企业数17家</w:t>
      </w:r>
      <w:r>
        <w:rPr>
          <w:rFonts w:hint="eastAsia" w:eastAsia="仿宋_GB2312" w:cs="Times New Roman"/>
          <w:sz w:val="32"/>
          <w:szCs w:val="32"/>
          <w:lang w:eastAsia="zh-CN"/>
        </w:rPr>
        <w:t>。</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下半年工作完成情况：</w:t>
      </w:r>
      <w:r>
        <w:rPr>
          <w:rFonts w:hint="eastAsia" w:ascii="Times New Roman" w:hAnsi="Times New Roman" w:eastAsia="仿宋_GB2312" w:cs="Times New Roman"/>
          <w:sz w:val="32"/>
          <w:szCs w:val="32"/>
          <w:lang w:val="en-US" w:eastAsia="zh-CN"/>
        </w:rPr>
        <w:t>碘缺乏病监测任务完成数：300人；地方性氟中毒监测任务数：50；传染病防治资金拨付准确率：95</w:t>
      </w:r>
      <w:r>
        <w:rPr>
          <w:rFonts w:hint="eastAsia"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；适龄儿童国家免疫规划疫苗接种率：95</w:t>
      </w:r>
      <w:r>
        <w:rPr>
          <w:rFonts w:hint="eastAsia"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；职业健康检查体检完成及时率：100</w:t>
      </w:r>
      <w:r>
        <w:rPr>
          <w:rFonts w:hint="eastAsia"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；结核病患者健康管理按时完成率：90</w:t>
      </w:r>
      <w:r>
        <w:rPr>
          <w:rFonts w:hint="eastAsia"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；适龄儿童国家免疫规划疫苗接种按时完成率：95</w:t>
      </w:r>
      <w:r>
        <w:rPr>
          <w:rFonts w:hint="eastAsia"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；传染病防治资金拨付及时率：99.80</w:t>
      </w:r>
      <w:r>
        <w:rPr>
          <w:rFonts w:hint="eastAsia"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；地方病任务完成率：90</w:t>
      </w:r>
      <w:r>
        <w:rPr>
          <w:rFonts w:hint="eastAsia"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；肺结核病患者健康覆盖率：90</w:t>
      </w:r>
      <w:r>
        <w:rPr>
          <w:rFonts w:hint="eastAsia"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；职业病危害因素监测企业覆盖率：100</w:t>
      </w:r>
      <w:r>
        <w:rPr>
          <w:rFonts w:hint="eastAsia"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；结核病防治营养早餐成本：26.94</w:t>
      </w:r>
      <w:r>
        <w:rPr>
          <w:rFonts w:hint="eastAsia"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；预防接种服务费用：53.10</w:t>
      </w:r>
      <w:r>
        <w:rPr>
          <w:rFonts w:hint="eastAsia"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；传染病防治费用：41.26</w:t>
      </w:r>
      <w:r>
        <w:rPr>
          <w:rFonts w:hint="eastAsia"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；职业健康检查成本：2.7</w:t>
      </w:r>
      <w:r>
        <w:rPr>
          <w:rFonts w:hint="eastAsia"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；地方病防治费用：12.5</w:t>
      </w:r>
      <w:r>
        <w:rPr>
          <w:rFonts w:hint="eastAsia"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；城乡居民公共卫生差距：不断缩小；基本公共卫生服务水平：不断提高；适龄儿童国家免疫规划疫苗接种人数：19000</w:t>
      </w:r>
      <w:r>
        <w:rPr>
          <w:rFonts w:hint="eastAsia" w:eastAsia="仿宋_GB2312" w:cs="Times New Roman"/>
          <w:sz w:val="32"/>
          <w:szCs w:val="32"/>
          <w:lang w:val="en-US" w:eastAsia="zh-CN"/>
        </w:rPr>
        <w:t>人</w:t>
      </w:r>
      <w:r>
        <w:rPr>
          <w:rFonts w:hint="eastAsia" w:ascii="Times New Roman" w:hAnsi="Times New Roman" w:eastAsia="仿宋_GB2312" w:cs="Times New Roman"/>
          <w:sz w:val="32"/>
          <w:szCs w:val="32"/>
          <w:lang w:val="en-US" w:eastAsia="zh-CN"/>
        </w:rPr>
        <w:t>；肺结核病患者健康管理：113</w:t>
      </w:r>
      <w:r>
        <w:rPr>
          <w:rFonts w:hint="eastAsia" w:eastAsia="仿宋_GB2312" w:cs="Times New Roman"/>
          <w:sz w:val="32"/>
          <w:szCs w:val="32"/>
          <w:lang w:val="en-US" w:eastAsia="zh-CN"/>
        </w:rPr>
        <w:t>人；</w:t>
      </w:r>
      <w:r>
        <w:rPr>
          <w:rFonts w:hint="eastAsia" w:ascii="Times New Roman" w:hAnsi="Times New Roman" w:eastAsia="仿宋_GB2312" w:cs="Times New Roman"/>
          <w:sz w:val="32"/>
          <w:szCs w:val="32"/>
          <w:lang w:val="en-US" w:eastAsia="zh-CN"/>
        </w:rPr>
        <w:t>业健康检查人数：835人；传染病防治资金拨付乡镇卫生院数量：8</w:t>
      </w:r>
      <w:r>
        <w:rPr>
          <w:rFonts w:hint="eastAsia" w:eastAsia="仿宋_GB2312" w:cs="Times New Roman"/>
          <w:sz w:val="32"/>
          <w:szCs w:val="32"/>
          <w:lang w:val="en-US" w:eastAsia="zh-CN"/>
        </w:rPr>
        <w:t>个</w:t>
      </w:r>
      <w:r>
        <w:rPr>
          <w:rFonts w:hint="eastAsia" w:ascii="Times New Roman" w:hAnsi="Times New Roman" w:eastAsia="仿宋_GB2312" w:cs="Times New Roman"/>
          <w:sz w:val="32"/>
          <w:szCs w:val="32"/>
          <w:lang w:val="en-US" w:eastAsia="zh-CN"/>
        </w:rPr>
        <w:t>；工作场所职业病危害因素检测率：100</w:t>
      </w:r>
      <w:r>
        <w:rPr>
          <w:rFonts w:hint="eastAsia" w:eastAsia="仿宋_GB2312" w:cs="Times New Roman"/>
          <w:sz w:val="32"/>
          <w:szCs w:val="32"/>
          <w:lang w:val="en-US" w:eastAsia="zh-CN"/>
        </w:rPr>
        <w:t>%。</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本项目预算绩效评价报告的评价对象是伊州财社[2023]62号2024年基本公共卫生服务补助资金及其预算执行情况。该项目由</w:t>
      </w:r>
      <w:r>
        <w:rPr>
          <w:rFonts w:hint="eastAsia" w:ascii="Times New Roman" w:hAnsi="Times New Roman" w:eastAsia="仿宋_GB2312" w:cs="Times New Roman"/>
          <w:b w:val="0"/>
          <w:bCs w:val="0"/>
          <w:highlight w:val="none"/>
          <w:lang w:eastAsia="zh-CN"/>
        </w:rPr>
        <w:t>特克斯县疾病预防控制中心</w:t>
      </w:r>
      <w:r>
        <w:rPr>
          <w:rFonts w:hint="default" w:ascii="Times New Roman" w:hAnsi="Times New Roman" w:eastAsia="仿宋_GB2312" w:cs="Times New Roman"/>
          <w:b w:val="0"/>
          <w:bCs w:val="0"/>
          <w:highlight w:val="none"/>
        </w:rPr>
        <w:t>负责实施，旨在</w:t>
      </w:r>
      <w:r>
        <w:rPr>
          <w:rFonts w:hint="eastAsia" w:ascii="Times New Roman" w:hAnsi="Times New Roman" w:eastAsia="仿宋_GB2312" w:cs="Times New Roman"/>
          <w:b w:val="0"/>
          <w:bCs w:val="0"/>
          <w:highlight w:val="none"/>
        </w:rPr>
        <w:t>根据社会经济发展状况、主要公共卫生问题和干预效果，确定国家基本公共卫生服务项目，明确政府责任对城乡居民健康问题实施干预措施，减少主要健康危险因素，有效预防和控制主要传染病及慢性病，提高公共卫生服务和突发公共卫生事件应急处置能力，使城乡居民享有均等化的基本公共卫生服务。为我县163501人提供项目服务。现阶段国家基本公共卫生服务项目内容为：0-6岁儿童健康服务管理预防接种服务、15岁以下青少年免费疫苗接种免疫规划服务，肺结核患者健康管理营养早餐、病人管理业务等工作</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2024年12月24日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136.5</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w:t>
      </w:r>
      <w:r>
        <w:rPr>
          <w:rFonts w:hint="eastAsia" w:ascii="Times New Roman" w:hAnsi="Times New Roman" w:eastAsia="仿宋_GB2312" w:cs="Times New Roman"/>
          <w:b w:val="0"/>
          <w:bCs w:val="0"/>
          <w:highlight w:val="none"/>
          <w:lang w:eastAsia="zh-CN"/>
        </w:rPr>
        <w:t>提升居民健康水平，促进社会公平，增强社会稳定性，推动卫生事业发展，提高公众对卫生事业的信任。</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绩效评价原则</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本次项目绩效评价遵循以下基本原则：</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（1）科学公正。绩效评价应当运用科学合理的方法，按照规范的程序，对项目绩效进行客观、公正的反映。</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（2）统筹兼顾。单位自评、部门评价和财政评价应职责明确，各有侧重，相互衔接。单位自评应由项目单位自主实施，即“谁支出、谁自评”。部门评价和财政评价应在单位自评的基础上开展。</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（3）激励约束。绩效评价结果应与预算安排、政策调整、改进管理实质性挂钩，体现奖优罚劣和激励相容导向，有效要安排、低效要压减、无效要问责。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评价指标体系</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绩效评价框架是开展绩效评价的核心。绩效评价框架包括评价准则、关键评价问题、评价指标、数据来源、数据收集方法等。指标体系建立过程如下：</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（1）确定评价指标</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（2）确定权重</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确定各个指标相对于项目总体绩效的权重分值。在绩效评价指标体系中，项目决策权重为20分，项目过程权重为20分，项目产出权重为40分，项目效益权重为</w:t>
      </w:r>
      <w:r>
        <w:rPr>
          <w:rFonts w:hint="eastAsia" w:ascii="Times New Roman" w:hAnsi="Times New Roman" w:eastAsia="仿宋_GB2312" w:cs="Times New Roman"/>
          <w:b w:val="0"/>
          <w:bCs w:val="0"/>
          <w:highlight w:val="none"/>
          <w:lang w:val="en-US" w:eastAsia="zh-CN"/>
        </w:rPr>
        <w:t>19.5</w:t>
      </w:r>
      <w:r>
        <w:rPr>
          <w:rFonts w:hint="default" w:ascii="Times New Roman" w:hAnsi="Times New Roman" w:eastAsia="仿宋_GB2312" w:cs="Times New Roman"/>
          <w:b w:val="0"/>
          <w:bCs w:val="0"/>
          <w:highlight w:val="none"/>
        </w:rPr>
        <w:t>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（3）确定指标标准值</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指标标准值是绩效评价指标的尺度，既要反映同类项目的先进水平，又要符合项目的实际绩效水平。具体采用计划标准等确定此次绩效评价指标标准值。</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绩效评价总分值100分，根据综合评分结果，90（含）-100分为优、80（含）-90分为良、60（含）-80分为中、60分以下为差。</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绩效评价方法</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绩效评价从项目决策、项目过程、项目产出、项目效益四个维度进行评价。评价对象为项目目标实施情况，  评价核心为资金的支出完成情况和项目的产出效益。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本次评价指标中，既有定性指标又有定量指标，各类指标因考核内容不同和客观标准不同存在较大差异，因此核定具体指标时采用了不同方法，具体评价方法如下：</w:t>
      </w:r>
    </w:p>
    <w:p>
      <w:pPr>
        <w:pStyle w:val="10"/>
        <w:widowControl w:val="0"/>
        <w:spacing w:before="0" w:after="0" w:line="560" w:lineRule="exact"/>
        <w:ind w:firstLine="640" w:firstLineChars="200"/>
        <w:jc w:val="both"/>
        <w:outlineLvl w:val="9"/>
        <w:rPr>
          <w:rFonts w:hint="eastAsia"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w:t>
      </w:r>
      <w:r>
        <w:rPr>
          <w:rFonts w:hint="eastAsia" w:ascii="Times New Roman" w:hAnsi="Times New Roman" w:eastAsia="仿宋_GB2312" w:cs="Times New Roman"/>
          <w:b w:val="0"/>
          <w:bCs w:val="0"/>
          <w:highlight w:val="none"/>
          <w:lang w:eastAsia="zh-CN"/>
        </w:rPr>
        <w:t>一</w:t>
      </w:r>
      <w:r>
        <w:rPr>
          <w:rFonts w:hint="default" w:ascii="Times New Roman" w:hAnsi="Times New Roman" w:eastAsia="仿宋_GB2312" w:cs="Times New Roman"/>
          <w:b w:val="0"/>
          <w:bCs w:val="0"/>
          <w:highlight w:val="none"/>
        </w:rPr>
        <w:t>）因素分析法。是指综合分析影响绩效目标实现、实施效果的内外部因素的方法。</w:t>
      </w:r>
      <w:r>
        <w:rPr>
          <w:rFonts w:hint="eastAsia" w:ascii="Times New Roman" w:hAnsi="Times New Roman" w:eastAsia="仿宋_GB2312" w:cs="Times New Roman"/>
          <w:b w:val="0"/>
          <w:bCs w:val="0"/>
          <w:highlight w:val="none"/>
          <w:lang w:eastAsia="zh-CN"/>
        </w:rPr>
        <w:t>选择因素分析法因其全面性、灵活性以及能够提供定量依据的特点。</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highlight w:val="none"/>
        </w:rPr>
        <w:t>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lang w:val="en-US" w:eastAsia="zh-CN"/>
        </w:rPr>
        <w:t>1</w:t>
      </w: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计划标准。指以预先制定的目标、计划、预算、定额等作为评价标准。</w:t>
      </w:r>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伊州财社[2023]62号2024年基本公共卫生服务补助资金</w:t>
      </w:r>
      <w:r>
        <w:rPr>
          <w:rFonts w:hint="default" w:ascii="Times New Roman" w:hAnsi="Times New Roman" w:eastAsia="仿宋_GB2312" w:cs="Times New Roman"/>
          <w:sz w:val="32"/>
          <w:szCs w:val="32"/>
          <w:highlight w:val="none"/>
        </w:rPr>
        <w:t>在</w:t>
      </w:r>
      <w:r>
        <w:rPr>
          <w:rFonts w:hint="eastAsia" w:eastAsia="仿宋_GB2312" w:cs="Times New Roman"/>
          <w:sz w:val="32"/>
          <w:szCs w:val="32"/>
          <w:highlight w:val="none"/>
          <w:lang w:eastAsia="zh-CN"/>
        </w:rPr>
        <w:t>适龄儿童国家免疫规划疫苗接种人数</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肺结核病患者健康管理</w:t>
      </w:r>
      <w:r>
        <w:rPr>
          <w:rFonts w:hint="default" w:ascii="Times New Roman" w:hAnsi="Times New Roman" w:eastAsia="仿宋_GB2312" w:cs="Times New Roman"/>
          <w:sz w:val="32"/>
          <w:szCs w:val="32"/>
          <w:highlight w:val="none"/>
        </w:rPr>
        <w:t>等方面表现出色，达到了预期的标准与要求。同时，项目也在传染病防治资金拨付乡镇卫生院数量取得了显著的成效，如</w:t>
      </w:r>
      <w:r>
        <w:rPr>
          <w:rFonts w:hint="eastAsia" w:eastAsia="仿宋_GB2312" w:cs="Times New Roman"/>
          <w:sz w:val="32"/>
          <w:szCs w:val="32"/>
          <w:highlight w:val="none"/>
          <w:lang w:eastAsia="zh-CN"/>
        </w:rPr>
        <w:t>提升硬件设施如监测能力、加强人员培训与应急能力</w:t>
      </w:r>
      <w:r>
        <w:rPr>
          <w:rFonts w:hint="default" w:ascii="Times New Roman" w:hAnsi="Times New Roman" w:eastAsia="仿宋_GB2312" w:cs="Times New Roman"/>
          <w:sz w:val="32"/>
          <w:szCs w:val="32"/>
          <w:highlight w:val="none"/>
        </w:rPr>
        <w:t>等。</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特克斯县疾病预防控制中心</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从项目效益的角度来看，本项目不仅实现了预期的社会效益等方面产生了积极的影响。具体而言，</w:t>
      </w:r>
      <w:r>
        <w:rPr>
          <w:rFonts w:hint="eastAsia" w:eastAsia="仿宋_GB2312" w:cs="Times New Roman"/>
          <w:sz w:val="32"/>
          <w:szCs w:val="32"/>
          <w:highlight w:val="none"/>
          <w:lang w:eastAsia="zh-CN"/>
        </w:rPr>
        <w:t>疾病预防控制成效显著、减轻医疗费用负担</w:t>
      </w:r>
      <w:r>
        <w:rPr>
          <w:rFonts w:hint="default" w:ascii="Times New Roman" w:hAnsi="Times New Roman" w:eastAsia="仿宋_GB2312" w:cs="Times New Roman"/>
          <w:sz w:val="32"/>
          <w:szCs w:val="32"/>
          <w:highlight w:val="none"/>
        </w:rPr>
        <w:t>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综上所述，伊州财社[2023]62号2024年基本公共卫生服务补助资金在绩效评价中表现出色，达到了项目的预期目标，并在多个方面取得了显著的成效。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136.5</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136.5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21</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指标1：适龄儿童国家免疫规划疫苗接种人数，指标值：&gt;=19000人，实际完成值：19000人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 xml:space="preserve">：肺结核病患者健康管理，指标值：&gt;=113人，实际完成值：113人，指标完成率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：职业健康检查人数，指标值：835人，实际完成值：835人，指标完成率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：传染病防治资金拨付乡镇卫生院数量，指标值：&gt;=8个，实际完成值：8个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 xml:space="preserve">：工作场所职业病危害因素检测率，指标值：=100%，实际完成值：100%，指标完成率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：碘缺乏病监测任务完成数，指标值：&gt;=300人</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实际完成值：300人，指标完成率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：地方性氟中毒监测任务数，指标值：&gt;=50人，实际完成值：50人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：传染病防治资金拨付准确率，指标值：&gt;=95%</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：适龄儿童国家免疫规划疫苗接种率，指标值：&gt;=95%</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实际完成值：95%，指标完成率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：肺结核病患者健康覆盖率，指标值：&gt;=90%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：职业病危害因素监测企业覆盖率，指标值：=100%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：地方病任务完成率，指标值：&gt;=90%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：结核病患者健康管理按时完成率，指标值：&gt;=90%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：适龄儿童国家免疫规划疫苗接种按时完成率，指标值：&gt;=95%</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：传染病防治资金拨付及时率，指标值：&gt;=99.80%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99.8</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：职业健康检查体检完成及时率，指标值：&gt;=100%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：结核病防治营养早餐成本，指标值：=26.94万元</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26.94万元</w:t>
      </w:r>
      <w:r>
        <w:rPr>
          <w:rFonts w:hint="default" w:ascii="Times New Roman" w:hAnsi="Times New Roman" w:eastAsia="仿宋_GB2312" w:cs="Times New Roman"/>
          <w:sz w:val="32"/>
          <w:szCs w:val="32"/>
          <w:highlight w:val="none"/>
        </w:rPr>
        <w:t xml:space="preserve">，指标完成率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：预防接种服务费用，指标值：=53.10万元</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53.1万元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：职业健康检查成本</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2.7</w:t>
      </w:r>
      <w:r>
        <w:rPr>
          <w:rFonts w:hint="default" w:ascii="Times New Roman" w:hAnsi="Times New Roman" w:eastAsia="仿宋_GB2312" w:cs="Times New Roman"/>
          <w:sz w:val="32"/>
          <w:szCs w:val="32"/>
          <w:highlight w:val="none"/>
        </w:rPr>
        <w:t>万元</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2.7万元</w:t>
      </w:r>
      <w:r>
        <w:rPr>
          <w:rFonts w:hint="default" w:ascii="Times New Roman" w:hAnsi="Times New Roman" w:eastAsia="仿宋_GB2312" w:cs="Times New Roman"/>
          <w:sz w:val="32"/>
          <w:szCs w:val="32"/>
          <w:highlight w:val="none"/>
        </w:rPr>
        <w:t xml:space="preserve">，指标完成率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：地方病防治费用</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12.5</w:t>
      </w:r>
      <w:r>
        <w:rPr>
          <w:rFonts w:hint="default" w:ascii="Times New Roman" w:hAnsi="Times New Roman" w:eastAsia="仿宋_GB2312" w:cs="Times New Roman"/>
          <w:sz w:val="32"/>
          <w:szCs w:val="32"/>
          <w:highlight w:val="none"/>
        </w:rPr>
        <w:t>万元</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12.5万元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outlineLvl w:val="0"/>
        <w:rPr>
          <w:rFonts w:hint="default" w:ascii="Times New Roman" w:hAnsi="Times New Roman" w:eastAsia="仿宋_GB2312" w:cs="Times New Roman"/>
          <w:sz w:val="32"/>
          <w:szCs w:val="32"/>
          <w:highlight w:val="none"/>
          <w:lang w:val="en-US" w:eastAsia="zh-CN"/>
        </w:rPr>
      </w:pPr>
    </w:p>
    <w:p>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个三级指标构成，权重分为20分，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具体效益指标及满意度指标完成情况如下：</w:t>
      </w:r>
    </w:p>
    <w:p>
      <w:pPr>
        <w:numPr>
          <w:ilvl w:val="0"/>
          <w:numId w:val="5"/>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：城乡居民公共卫生差距</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指标值：不断缩小</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明显缩小</w:t>
      </w:r>
      <w:r>
        <w:rPr>
          <w:rFonts w:hint="default" w:ascii="Times New Roman" w:hAnsi="Times New Roman" w:eastAsia="仿宋_GB2312" w:cs="Times New Roman"/>
          <w:sz w:val="32"/>
          <w:szCs w:val="32"/>
          <w:highlight w:val="none"/>
        </w:rPr>
        <w:t xml:space="preserve">，指标完成率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：基本公共卫生服务水平</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指标值：不断</w:t>
      </w:r>
      <w:r>
        <w:rPr>
          <w:rFonts w:hint="eastAsia" w:eastAsia="仿宋_GB2312" w:cs="Times New Roman"/>
          <w:sz w:val="32"/>
          <w:szCs w:val="32"/>
          <w:highlight w:val="none"/>
          <w:lang w:eastAsia="zh-CN"/>
        </w:rPr>
        <w:t>提高，</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显著提高</w:t>
      </w:r>
      <w:r>
        <w:rPr>
          <w:rFonts w:hint="default" w:ascii="Times New Roman" w:hAnsi="Times New Roman" w:eastAsia="仿宋_GB2312" w:cs="Times New Roman"/>
          <w:sz w:val="32"/>
          <w:szCs w:val="32"/>
          <w:highlight w:val="none"/>
        </w:rPr>
        <w:t xml:space="preserve">，指标完成率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pacing w:line="560" w:lineRule="exact"/>
        <w:ind w:firstLine="640" w:firstLineChars="20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：公共卫生服务对象满意度</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指标值：&gt;=95%</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99.46%</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104.69</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。偏差原因为：加大疾病宣传使服务对象了解传染病知识，满意度提高，下年度从严从高设置指标。</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19"/>
        <w:spacing w:line="560" w:lineRule="exact"/>
        <w:ind w:firstLine="640"/>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kern w:val="2"/>
          <w:sz w:val="32"/>
          <w:szCs w:val="32"/>
          <w:lang w:val="en-US" w:eastAsia="zh-CN" w:bidi="ar-SA"/>
        </w:rPr>
        <w:t>伊州财社[2023]62号2024年基本公共卫生服务补助资金项目年初预算</w:t>
      </w:r>
      <w:r>
        <w:rPr>
          <w:rFonts w:hint="eastAsia" w:ascii="Times New Roman" w:hAnsi="Times New Roman" w:eastAsia="仿宋_GB2312" w:cs="Times New Roman"/>
          <w:kern w:val="2"/>
          <w:sz w:val="32"/>
          <w:szCs w:val="32"/>
          <w:lang w:val="en-US" w:eastAsia="zh-CN" w:bidi="ar-SA"/>
        </w:rPr>
        <w:t>134.95</w:t>
      </w:r>
      <w:r>
        <w:rPr>
          <w:rFonts w:hint="default" w:ascii="Times New Roman" w:hAnsi="Times New Roman" w:eastAsia="仿宋_GB2312" w:cs="Times New Roman"/>
          <w:kern w:val="2"/>
          <w:sz w:val="32"/>
          <w:szCs w:val="32"/>
          <w:lang w:val="en-US" w:eastAsia="zh-CN" w:bidi="ar-SA"/>
        </w:rPr>
        <w:t>万元，全年预算</w:t>
      </w:r>
      <w:r>
        <w:rPr>
          <w:rFonts w:hint="eastAsia" w:ascii="Times New Roman" w:hAnsi="Times New Roman" w:eastAsia="仿宋_GB2312" w:cs="Times New Roman"/>
          <w:kern w:val="2"/>
          <w:sz w:val="32"/>
          <w:szCs w:val="32"/>
          <w:lang w:val="en-US" w:eastAsia="zh-CN" w:bidi="ar-SA"/>
        </w:rPr>
        <w:t>136.5</w:t>
      </w:r>
      <w:r>
        <w:rPr>
          <w:rFonts w:hint="default" w:ascii="Times New Roman" w:hAnsi="Times New Roman" w:eastAsia="仿宋_GB2312" w:cs="Times New Roman"/>
          <w:kern w:val="2"/>
          <w:sz w:val="32"/>
          <w:szCs w:val="32"/>
          <w:lang w:val="en-US" w:eastAsia="zh-CN" w:bidi="ar-SA"/>
        </w:rPr>
        <w:t>万元，实际支出</w:t>
      </w:r>
      <w:r>
        <w:rPr>
          <w:rFonts w:hint="eastAsia" w:ascii="Times New Roman" w:hAnsi="Times New Roman" w:eastAsia="仿宋_GB2312" w:cs="Times New Roman"/>
          <w:kern w:val="2"/>
          <w:sz w:val="32"/>
          <w:szCs w:val="32"/>
          <w:lang w:val="en-US" w:eastAsia="zh-CN" w:bidi="ar-SA"/>
        </w:rPr>
        <w:t>136.5</w:t>
      </w:r>
      <w:r>
        <w:rPr>
          <w:rFonts w:hint="default" w:ascii="Times New Roman" w:hAnsi="Times New Roman" w:eastAsia="仿宋_GB2312" w:cs="Times New Roman"/>
          <w:kern w:val="2"/>
          <w:sz w:val="32"/>
          <w:szCs w:val="32"/>
          <w:lang w:val="en-US" w:eastAsia="zh-CN" w:bidi="ar-SA"/>
        </w:rPr>
        <w:t>万元，预算执行率为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%，项目绩效指标总体完成率为</w:t>
      </w:r>
      <w:r>
        <w:rPr>
          <w:rFonts w:hint="eastAsia" w:ascii="Times New Roman" w:hAnsi="Times New Roman" w:eastAsia="仿宋_GB2312" w:cs="Times New Roman"/>
          <w:kern w:val="2"/>
          <w:sz w:val="32"/>
          <w:szCs w:val="32"/>
          <w:lang w:val="en-US" w:eastAsia="zh-CN" w:bidi="ar-SA"/>
        </w:rPr>
        <w:t>100.2</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总体</w:t>
      </w:r>
      <w:r>
        <w:rPr>
          <w:rFonts w:hint="default" w:ascii="Times New Roman" w:hAnsi="Times New Roman" w:eastAsia="仿宋_GB2312" w:cs="Times New Roman"/>
          <w:kern w:val="2"/>
          <w:sz w:val="32"/>
          <w:szCs w:val="32"/>
          <w:lang w:val="en-US" w:eastAsia="zh-CN" w:bidi="ar-SA"/>
        </w:rPr>
        <w:t>偏差率为</w:t>
      </w:r>
      <w:r>
        <w:rPr>
          <w:rFonts w:hint="eastAsia" w:ascii="Times New Roman" w:hAnsi="Times New Roman" w:eastAsia="仿宋_GB2312" w:cs="Times New Roman"/>
          <w:kern w:val="2"/>
          <w:sz w:val="32"/>
          <w:szCs w:val="32"/>
          <w:lang w:val="en-US" w:eastAsia="zh-CN" w:bidi="ar-SA"/>
        </w:rPr>
        <w:t>0.2</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偏差</w:t>
      </w:r>
      <w:r>
        <w:rPr>
          <w:rFonts w:hint="default" w:ascii="Times New Roman" w:hAnsi="Times New Roman" w:eastAsia="仿宋_GB2312" w:cs="Times New Roman"/>
          <w:kern w:val="2"/>
          <w:sz w:val="32"/>
          <w:szCs w:val="32"/>
          <w:lang w:val="en-US" w:eastAsia="zh-CN" w:bidi="ar-SA"/>
        </w:rPr>
        <w:t>原因</w:t>
      </w:r>
      <w:r>
        <w:rPr>
          <w:rFonts w:hint="eastAsia" w:ascii="Times New Roman" w:hAnsi="Times New Roman" w:eastAsia="仿宋_GB2312" w:cs="Times New Roman"/>
          <w:kern w:val="2"/>
          <w:sz w:val="32"/>
          <w:szCs w:val="32"/>
          <w:lang w:val="en-US" w:eastAsia="zh-CN" w:bidi="ar-SA"/>
        </w:rPr>
        <w:t>年初设置指标不够严格</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改进</w:t>
      </w:r>
      <w:r>
        <w:rPr>
          <w:rFonts w:hint="default" w:ascii="Times New Roman" w:hAnsi="Times New Roman" w:eastAsia="仿宋_GB2312" w:cs="Times New Roman"/>
          <w:kern w:val="2"/>
          <w:sz w:val="32"/>
          <w:szCs w:val="32"/>
          <w:lang w:val="en-US" w:eastAsia="zh-CN" w:bidi="ar-SA"/>
        </w:rPr>
        <w:t>措施</w:t>
      </w:r>
      <w:r>
        <w:rPr>
          <w:rFonts w:hint="eastAsia" w:ascii="Times New Roman" w:hAnsi="Times New Roman" w:eastAsia="仿宋_GB2312" w:cs="Times New Roman"/>
          <w:kern w:val="2"/>
          <w:sz w:val="32"/>
          <w:szCs w:val="32"/>
          <w:lang w:val="en-US" w:eastAsia="zh-CN" w:bidi="ar-SA"/>
        </w:rPr>
        <w:t>下年度从严从高设置指标。</w:t>
      </w:r>
    </w:p>
    <w:p>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highlight w:val="none"/>
        </w:rPr>
      </w:pPr>
      <w:bookmarkStart w:id="1" w:name="_Toc26499_WPSOffice_Level2"/>
      <w:bookmarkStart w:id="2" w:name="_Toc30064_WPSOffice_Level1"/>
      <w:r>
        <w:rPr>
          <w:rFonts w:hint="eastAsia" w:ascii="仿宋_GB2312" w:hAnsi="仿宋_GB2312" w:eastAsia="仿宋_GB2312" w:cs="仿宋_GB2312"/>
          <w:b/>
          <w:bCs/>
          <w:sz w:val="28"/>
          <w:szCs w:val="40"/>
          <w:highlight w:val="none"/>
          <w:lang w:val="en-US" w:eastAsia="zh-CN"/>
        </w:rPr>
        <w:t>伊州财社[2023]62号2024年基本公共卫生服务补助资金</w:t>
      </w:r>
      <w:r>
        <w:rPr>
          <w:rFonts w:hint="eastAsia" w:ascii="仿宋_GB2312" w:hAnsi="仿宋_GB2312" w:eastAsia="仿宋_GB2312" w:cs="仿宋_GB2312"/>
          <w:b/>
          <w:bCs/>
          <w:sz w:val="28"/>
          <w:szCs w:val="40"/>
          <w:highlight w:val="none"/>
        </w:rPr>
        <w:t>项目绩效评价指标体系及综合评分表</w:t>
      </w:r>
      <w:bookmarkEnd w:id="1"/>
      <w:bookmarkEnd w:id="2"/>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立项依据</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①项目立项是否符合国家法律法规、国民经济发展规划和相关政策；</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②项目立项是否符合行业发展规划和政策要求；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③项目立项是否与部门职责范围相符，属于部门履职所需；</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立项程序</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①项目是否按照规定的程序申请设立；</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②审批文件、材料是否符合相关要求；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（如未设定预算绩效目标，也可考核其他工作任务目标）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①项目是否有绩效目标；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②项目绩效目标与实际工作内容是否具有相关性；</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绩效指标</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①是否将项目绩效目标细化分解为具体的绩效指标；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②是否通过清晰、可衡量的指标值予以体现；</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③是否与项目目标任务数或计划数相对应。</w:t>
            </w:r>
            <w:r>
              <w:rPr>
                <w:rFonts w:hint="default" w:ascii="Times New Roman" w:hAnsi="Times New Roman" w:eastAsia="仿宋_GB2312" w:cs="Times New Roman"/>
                <w:color w:val="000000"/>
                <w:kern w:val="0"/>
                <w:sz w:val="18"/>
                <w:szCs w:val="18"/>
                <w:highlight w:val="none"/>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资金投入</w:t>
            </w: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预算编制</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①预算编制是否经过科学论证；</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②预算内容与项目内容是否匹配；</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③预算额度测算依据是否充分，是否按照标准编制；</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资金分配</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①预算资金分配依据是否充分；</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过程</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预算执行率=（实际支出资金/实际到位资金）×100%。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资金使用</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②资金的拨付是否有完整的审批程序和手续；</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③是否符合项目预算批复或合同规定的用途；</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组织实施</w:t>
            </w: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管理制度</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①是否已制定或具有相应的财务和业务管理制度；</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制度执行</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①是否遵守相关法律法规和相关管理规定；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②项目调整及支出调整手续是否完备；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③项目合同书、验收报告、技术鉴定等资料是否齐全并及时归档；</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实际完成率=（实际产出数/计划产出数）×100%。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实际完成时间：项目实施单位完成该项目实际所耗用的时间。</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成本节约率=[（计划成本-实际成本）/计划成本]×100%。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bookmarkStart w:id="3" w:name="_GoBack"/>
      <w:bookmarkEnd w:id="3"/>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119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伊州财社[2023]62号2024年基本公共卫生服务补助资金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557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特克斯县疾病预防控制中心</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特克斯县疾病预防控制中心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134.95</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136.5</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136.50</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100.00%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134.95</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136.5</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2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34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088"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719"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（1）保持并提高乙肝疫苗、卡介苗、脊灰疫苗（脊灰灭活疫苗2剂次和二价脊髓灰质炎减毒活疫苗2剂次）、百白破疫苗、白破疫苗、麻腮风疫苗、 流脑疫苗、甲肝减毒活疫苗的接种率以乡(镇)为单位达到95%及以上。（2）传染性肺结核患者集中隔离治疗率，活动性肺结核患者“集中服务+营养早餐”覆盖率达到95%以上。（3）认真做好职业健康检查职业病诊断工作，开展职业性尘肺病随访与回顾性调查率达到100%。（4）拨付给8个乡镇卫生院，用于开展各项传染病防治工作，拨付及时率达到99.80%。根据《国家基本公共卫生服务规范（第三版）》服务内容，促进基本公共卫生服务逐步均等化的实施方案，主要公共卫生问题和干预措施的效果，按照基本公共卫生服务项目两项的县公共卫生服务能力进一步提高，促进基本公共卫生服务逐步实施，使特克斯县居民生活质量和健康水平明显改善。（5）免费向城乡居民提供基本公共卫生服务。（6）保持重点地方病防治措施全面落实。开展职业病防治，最大限度地保护放射工作人员、患者和公共的健康权益。同时推进妇幼卫生、医养结合和老年健康服务等方面工作。</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2024年实际完成目标：</w:t>
            </w:r>
          </w:p>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1.2024年我县特克斯县结核病报告发病率为13.03/10万，比2023年同期报告发病数下降56.09%。2.统计疫苗发放数量：乙肝疫苗500支，卡介苗63支、无细胞百白破775支，脊灰疫苗IPV685支、bOPV848支，麻腮风755支，A群流脑疫苗255支,A+C流脑疫苗760支,白破二联疫苗355支,甲肝疫苗270支；注射器1mL1500支， 0.1mL300支，接种率均到达95%以上。3.碘缺乏病工作：碘缺乏病监测共完成孕妇48人尿样及盐样采集工作。4.饮茶型地方性氟中毒工作：氟骨症筛查工作由各乡镇开展完成症状筛查176人，完成拍片0人。5.根据市监局提供企业名单和商信局提供的企业名单来已确定2024年重点行业监测企业数17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1312"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适龄儿童国家免疫规划疫苗接种人数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308"/>
              </w:tabs>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ab/>
            </w:r>
            <w:r>
              <w:rPr>
                <w:rFonts w:hint="eastAsia" w:ascii="仿宋_GB2312" w:hAnsi="仿宋_GB2312" w:eastAsia="仿宋_GB2312" w:cs="仿宋_GB2312"/>
                <w:i w:val="0"/>
                <w:iCs w:val="0"/>
                <w:color w:val="000000"/>
                <w:sz w:val="18"/>
                <w:szCs w:val="18"/>
                <w:u w:val="none"/>
                <w:lang w:eastAsia="zh-CN"/>
              </w:rPr>
              <w:t>&gt;=19000人</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19000人</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3</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19000人</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3</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肺结核病患者健康管理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&gt;=113人</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113人</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113人</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3</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职业健康检查人数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835人</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835人</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835人</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3</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传染病防治资金拨付乡镇卫生院数量</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&gt;=8个</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8个</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8个</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3</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工作场所职业病危害因素检测率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3</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碘缺乏病监测任务完成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&gt;=300人</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300人</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300人</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3</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地方性氟中毒监测任务数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&gt;=50人</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50人</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50人</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传染病防治资金拨付准确率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适龄儿童国家免疫规划疫苗接种率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肺结核病患者健康覆盖率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职业病危害因素监测企业覆盖率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地方病任务完成率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结核病患者健康管理按时完成率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适龄儿童国家免疫规划疫苗接种按时完成率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95%</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2</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传染病防治资金拨付及时率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&gt;=99.80%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99.80%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99.80%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3</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职业健康检查体检完成及时率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3</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结核病防治营养早餐成本</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=26.94万元</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预算支出标准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26.94万元</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原始凭证</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26.94万元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预防接种服务费用</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=53.10万元</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预算支出标准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53.10万元</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原始凭证</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53.10万元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传染病防治费用</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=41.26万元</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预算支出标准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41.26万元</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原始凭证</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41.26万元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职业健康检查成本</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=2.7万元</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预算支出标准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2.7万元</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原始凭证</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2.7万元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经济成本指标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地方病防治费用</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=12.5万元</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预算支出标准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12.5万元</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4</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原始凭证</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12.5万元</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4</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城乡居民公共卫生差距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不断缩小</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明显缩小</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明显缩小</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社会效益指标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基本公共卫生服务水平</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不断提高</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显著提高</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显著提高</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312"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生态效益指标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312"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满意度指标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公共卫生服务对象满意度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计划标准</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99.46%</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rPr>
              <w:t>99.46%</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104.69%</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1、偏差原因：加大疾病宣传使服务对象了解传染病知识，满意度提高，下年度从严从高设置指标。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553"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rPr>
            </w:pPr>
            <w:r>
              <w:rPr>
                <w:rFonts w:hint="eastAsia" w:ascii="仿宋_GB2312" w:hAnsi="仿宋_GB2312" w:eastAsia="仿宋_GB2312" w:cs="仿宋_GB2312"/>
                <w:i w:val="0"/>
                <w:iCs w:val="0"/>
                <w:color w:val="000000"/>
                <w:sz w:val="18"/>
                <w:szCs w:val="18"/>
                <w:u w:val="none"/>
                <w:lang w:val="en-US" w:eastAsia="zh-CN"/>
              </w:rPr>
              <w:t>90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仿宋_GB2312" w:eastAsia="仿宋_GB2312" w:cs="仿宋_GB2312"/>
                <w:i w:val="0"/>
                <w:iCs w:val="0"/>
                <w:color w:val="000000"/>
                <w:sz w:val="18"/>
                <w:szCs w:val="18"/>
                <w:u w:val="none"/>
                <w:lang w:val="en-US"/>
              </w:rPr>
            </w:pPr>
          </w:p>
        </w:tc>
      </w:tr>
    </w:tbl>
    <w:p>
      <w:pPr>
        <w:rPr>
          <w:rFonts w:hint="default" w:ascii="Times New Roman" w:hAnsi="Times New Roman" w:cs="Times New Roman"/>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abstractNum w:abstractNumId="5">
    <w:nsid w:val="7D559A59"/>
    <w:multiLevelType w:val="singleLevel"/>
    <w:tmpl w:val="7D559A59"/>
    <w:lvl w:ilvl="0" w:tentative="0">
      <w:start w:val="1"/>
      <w:numFmt w:val="decimal"/>
      <w:lvlText w:val="%1."/>
      <w:lvlJc w:val="left"/>
      <w:pPr>
        <w:tabs>
          <w:tab w:val="left" w:pos="312"/>
        </w:tabs>
      </w:p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92E5F69"/>
    <w:rsid w:val="0AD007F3"/>
    <w:rsid w:val="0E3C619F"/>
    <w:rsid w:val="100F38EC"/>
    <w:rsid w:val="10E5752F"/>
    <w:rsid w:val="11170296"/>
    <w:rsid w:val="12C4335B"/>
    <w:rsid w:val="12C66037"/>
    <w:rsid w:val="12CD1ABC"/>
    <w:rsid w:val="13471461"/>
    <w:rsid w:val="13B90F01"/>
    <w:rsid w:val="155E4C4D"/>
    <w:rsid w:val="159D42EC"/>
    <w:rsid w:val="15EC0604"/>
    <w:rsid w:val="181066D2"/>
    <w:rsid w:val="19E43E79"/>
    <w:rsid w:val="1C671E73"/>
    <w:rsid w:val="1D322C47"/>
    <w:rsid w:val="21283E67"/>
    <w:rsid w:val="23616034"/>
    <w:rsid w:val="23696C97"/>
    <w:rsid w:val="24480FA2"/>
    <w:rsid w:val="24B518E5"/>
    <w:rsid w:val="25227A45"/>
    <w:rsid w:val="26AC3A6A"/>
    <w:rsid w:val="2AF3122E"/>
    <w:rsid w:val="2B9D7E25"/>
    <w:rsid w:val="2C7C7A3B"/>
    <w:rsid w:val="2F364819"/>
    <w:rsid w:val="2FD63906"/>
    <w:rsid w:val="3098534F"/>
    <w:rsid w:val="37215DAE"/>
    <w:rsid w:val="38CA40DD"/>
    <w:rsid w:val="395F2B56"/>
    <w:rsid w:val="397C20AB"/>
    <w:rsid w:val="39F62458"/>
    <w:rsid w:val="3BBA0580"/>
    <w:rsid w:val="3BECE841"/>
    <w:rsid w:val="3C770FE2"/>
    <w:rsid w:val="3CDE204C"/>
    <w:rsid w:val="3D363C36"/>
    <w:rsid w:val="3E9C3F6D"/>
    <w:rsid w:val="3F661815"/>
    <w:rsid w:val="3FF7797D"/>
    <w:rsid w:val="4166275B"/>
    <w:rsid w:val="42973E70"/>
    <w:rsid w:val="42DB0AAA"/>
    <w:rsid w:val="46690BD8"/>
    <w:rsid w:val="49F70BF1"/>
    <w:rsid w:val="4B4340EE"/>
    <w:rsid w:val="503D507A"/>
    <w:rsid w:val="51FA74D0"/>
    <w:rsid w:val="52AA4A52"/>
    <w:rsid w:val="52BA3DC6"/>
    <w:rsid w:val="54037160"/>
    <w:rsid w:val="583F6767"/>
    <w:rsid w:val="59943D66"/>
    <w:rsid w:val="59E051FD"/>
    <w:rsid w:val="59E6355E"/>
    <w:rsid w:val="5B821531"/>
    <w:rsid w:val="5BFF6039"/>
    <w:rsid w:val="5D76A616"/>
    <w:rsid w:val="5D7F20B9"/>
    <w:rsid w:val="5DAC7D0E"/>
    <w:rsid w:val="5E714524"/>
    <w:rsid w:val="5F98B5AF"/>
    <w:rsid w:val="5FFE8511"/>
    <w:rsid w:val="5FFEACE2"/>
    <w:rsid w:val="609D5BF6"/>
    <w:rsid w:val="61073070"/>
    <w:rsid w:val="61B9080E"/>
    <w:rsid w:val="61DF3FED"/>
    <w:rsid w:val="62D20975"/>
    <w:rsid w:val="642B176B"/>
    <w:rsid w:val="643EE26D"/>
    <w:rsid w:val="656019A0"/>
    <w:rsid w:val="65F242EE"/>
    <w:rsid w:val="666D7E19"/>
    <w:rsid w:val="68376930"/>
    <w:rsid w:val="68F91E38"/>
    <w:rsid w:val="6B3158B9"/>
    <w:rsid w:val="6BA02A3F"/>
    <w:rsid w:val="6C1E5A53"/>
    <w:rsid w:val="6F5C41AC"/>
    <w:rsid w:val="6FAF6C78"/>
    <w:rsid w:val="70A60369"/>
    <w:rsid w:val="716167CC"/>
    <w:rsid w:val="718A7AD1"/>
    <w:rsid w:val="719D12FC"/>
    <w:rsid w:val="72A44BC2"/>
    <w:rsid w:val="7317C656"/>
    <w:rsid w:val="734ED73F"/>
    <w:rsid w:val="73C82B32"/>
    <w:rsid w:val="73F94DAE"/>
    <w:rsid w:val="74220495"/>
    <w:rsid w:val="747D1B6F"/>
    <w:rsid w:val="749E5641"/>
    <w:rsid w:val="75230ED8"/>
    <w:rsid w:val="76271066"/>
    <w:rsid w:val="764A2DDA"/>
    <w:rsid w:val="77FD8BE9"/>
    <w:rsid w:val="78000AED"/>
    <w:rsid w:val="79A9BD3F"/>
    <w:rsid w:val="7A6A4313"/>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35</Pages>
  <Words>10346</Words>
  <Characters>10923</Characters>
  <Lines>58</Lines>
  <Paragraphs>16</Paragraphs>
  <TotalTime>36</TotalTime>
  <ScaleCrop>false</ScaleCrop>
  <LinksUpToDate>false</LinksUpToDate>
  <CharactersWithSpaces>10985</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2025-07-22T10:02:38Z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eyJoZGlkIjoiOGY4ZjllZTc5NjFlZmUyNTcxNjBmMzdkOGZkNDIyZDciLCJ1c2VySWQiOiIxMTQzMDA1NzQ2In0=</vt:lpwstr>
  </property>
</Properties>
</file>